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947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947EC" w:rsidRDefault="00F8632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947EC" w:rsidRDefault="00F8632B">
            <w:pPr>
              <w:spacing w:after="0" w:line="240" w:lineRule="auto"/>
            </w:pPr>
            <w:r>
              <w:t>21318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947EC" w:rsidRDefault="00F8632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947EC" w:rsidRDefault="00F8632B">
            <w:pPr>
              <w:spacing w:after="0" w:line="240" w:lineRule="auto"/>
            </w:pPr>
            <w:r>
              <w:t>Osnovna škola Tenja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947EC" w:rsidRDefault="00F8632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947EC" w:rsidRDefault="00F8632B">
            <w:pPr>
              <w:spacing w:after="0" w:line="240" w:lineRule="auto"/>
            </w:pPr>
            <w:r>
              <w:t>31</w:t>
            </w:r>
          </w:p>
        </w:tc>
      </w:tr>
    </w:tbl>
    <w:p w:rsidR="001947EC" w:rsidRDefault="00F8632B">
      <w:r>
        <w:br/>
      </w:r>
    </w:p>
    <w:p w:rsidR="001947EC" w:rsidRDefault="00F8632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947EC" w:rsidRDefault="00F8632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947EC" w:rsidRDefault="00F8632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2.275.039,55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2.402.605,77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2.262.791,88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2.561.488,00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158.882,23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15.089,41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21.034,26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15.089,41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21.034,26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139,4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2.841,74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179.916,49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6331,2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 xml:space="preserve">     Ostvareni manjak prihoda i primitaka u 2025. godini, šifra Y001 iznosi  158.882,23 </w:t>
      </w:r>
      <w:proofErr w:type="spellStart"/>
      <w:r>
        <w:t>eur</w:t>
      </w:r>
      <w:proofErr w:type="spellEnd"/>
      <w:r>
        <w:t>-a je metodološki manjak i odnosi se na plaće zaposlenika i materijalne troškove, koji se odnose na dvanaesti mjesec 2025. godine, a sredstva će biti doznačena u prv</w:t>
      </w:r>
      <w:r>
        <w:t>om mjesecu 2026. godine.</w:t>
      </w:r>
    </w:p>
    <w:p w:rsidR="001947EC" w:rsidRDefault="00F8632B">
      <w:r>
        <w:t xml:space="preserve">Manjak u kodu Y002 u iznosu od 21.034,26 </w:t>
      </w:r>
      <w:proofErr w:type="spellStart"/>
      <w:r>
        <w:t>eur</w:t>
      </w:r>
      <w:proofErr w:type="spellEnd"/>
      <w:r>
        <w:t>-a nastao je zbog nedostatka prihoda od nefinancijske imovine.</w:t>
      </w:r>
    </w:p>
    <w:p w:rsidR="001947EC" w:rsidRDefault="00F8632B">
      <w:r>
        <w:lastRenderedPageBreak/>
        <w:t xml:space="preserve">Ukupni deficit u 2025. godini, na razini 2005. godine, šifra Y005 iznosi 179.916,49 </w:t>
      </w:r>
      <w:proofErr w:type="spellStart"/>
      <w:r>
        <w:t>eur</w:t>
      </w:r>
      <w:proofErr w:type="spellEnd"/>
      <w:r>
        <w:t>-a.</w:t>
      </w:r>
    </w:p>
    <w:p w:rsidR="001947EC" w:rsidRDefault="00F8632B">
      <w:r>
        <w:t> Preneseni manjak iznosi 13.164,8</w:t>
      </w:r>
      <w:r>
        <w:t xml:space="preserve">7 </w:t>
      </w:r>
      <w:proofErr w:type="spellStart"/>
      <w:r>
        <w:t>eur</w:t>
      </w:r>
      <w:proofErr w:type="spellEnd"/>
      <w:r>
        <w:t xml:space="preserve">-a. Ukupni manjak od 193.080,87 </w:t>
      </w:r>
      <w:proofErr w:type="spellStart"/>
      <w:r>
        <w:t>eur</w:t>
      </w:r>
      <w:proofErr w:type="spellEnd"/>
      <w:r>
        <w:t>-a bit će pokriven u 2026. godini.</w:t>
      </w:r>
    </w:p>
    <w:p w:rsidR="001947EC" w:rsidRDefault="00F8632B">
      <w:r>
        <w:br/>
      </w:r>
    </w:p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</w:t>
            </w:r>
            <w:r>
              <w:rPr>
                <w:sz w:val="18"/>
              </w:rPr>
              <w:t>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2.010.621,13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2.159.039,67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Do povećanja je došlo zbog povećanja osnovice plaće, što je povećalo i prihode.  </w:t>
      </w:r>
    </w:p>
    <w:p w:rsidR="001947EC" w:rsidRDefault="00F8632B">
      <w:r>
        <w:t>Uplaćena su sredstva za nabavu dijagnostičkih sredstava u svrhu psihološke procjene</w:t>
      </w:r>
    </w:p>
    <w:p w:rsidR="001947EC" w:rsidRDefault="00F8632B">
      <w:r>
        <w:t>i projekt Mali astronomi. Nabava potrebnih sredstava bit će 2026. godine.</w:t>
      </w:r>
    </w:p>
    <w:p w:rsidR="001947EC" w:rsidRDefault="00F8632B">
      <w:r>
        <w:t> </w:t>
      </w:r>
    </w:p>
    <w:p w:rsidR="001947EC" w:rsidRDefault="00F8632B">
      <w:r>
        <w:t>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35.564,55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33.330,80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  Ostali nespomenuti prihodi odnose se na prihode za sufinanciranje plaće učiteljice i  </w:t>
      </w:r>
    </w:p>
    <w:p w:rsidR="001947EC" w:rsidRDefault="00F8632B">
      <w:r>
        <w:t>      prehranu u produženom boravku, te prihoda za refundaciju šteta.  Iznos prihoda neznatno     </w:t>
      </w:r>
    </w:p>
    <w:p w:rsidR="001947EC" w:rsidRDefault="00F8632B">
      <w:r>
        <w:t>      je manji zbog manjeg broja djece koja koriste usluge produženog boravka.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6.227,78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163,1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  Prihodi od  prodaje proizvoda i pruženih usluga odnose se na prihode od  prikupljanja</w:t>
      </w:r>
    </w:p>
    <w:p w:rsidR="001947EC" w:rsidRDefault="00F8632B">
      <w:r>
        <w:t>      starog papira i iznajmljivanja  školske dvorane. Prihodi su povećani zbog većeg broja</w:t>
      </w:r>
    </w:p>
    <w:p w:rsidR="001947EC" w:rsidRDefault="00F8632B">
      <w:r>
        <w:lastRenderedPageBreak/>
        <w:t>      ugovorenih termina za najam u odnosu na prošlu godinu.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5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kapitalnih pomoći </w:t>
            </w:r>
            <w:r>
              <w:rPr>
                <w:sz w:val="18"/>
              </w:rPr>
              <w:t>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173,1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Tekuće donacije odnose se na donacije vezane za učeničke ekskurzije i ostale donacije za   </w:t>
      </w:r>
    </w:p>
    <w:p w:rsidR="001947EC" w:rsidRDefault="00F8632B">
      <w:r>
        <w:t>      potrošni materijal.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221.709,73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198.490,17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Prihodi iz nadležnog proračuna za financiranje rashoda poslovanja odnose se na prihode</w:t>
      </w:r>
    </w:p>
    <w:p w:rsidR="001947EC" w:rsidRDefault="00F8632B">
      <w:r>
        <w:t>      za financiranje rashoda za plaće u produženom boravku, plaće pomoćnika u nastavi,</w:t>
      </w:r>
    </w:p>
    <w:p w:rsidR="001947EC" w:rsidRDefault="00F8632B">
      <w:r>
        <w:t>      za financiranje materijalnih troškova, energenata, inspekcijskih nalaza, te</w:t>
      </w:r>
      <w:r>
        <w:t>kućeg i</w:t>
      </w:r>
    </w:p>
    <w:p w:rsidR="001947EC" w:rsidRDefault="00F8632B">
      <w:r>
        <w:t>      investicijskog održavanja, hitne intervencije, školske sheme.</w:t>
      </w:r>
    </w:p>
    <w:p w:rsidR="001947EC" w:rsidRDefault="00F8632B">
      <w:r>
        <w:t>      Ove godine sredstva su nešto manja zbog djece i kašnjenja  u plaćanju      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1.597.411,15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1.868.315,31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Plaće (bruto) za zaposlene odnosi se na plaće za zaposlene, redovan rad, prekovremeni,</w:t>
      </w:r>
    </w:p>
    <w:p w:rsidR="001947EC" w:rsidRDefault="00F8632B">
      <w:r>
        <w:t>      i posebne uvjete rada. Do povećanja rashoda došlo je zbog povećanja  osnovice za plaće,</w:t>
      </w:r>
    </w:p>
    <w:p w:rsidR="001947EC" w:rsidRDefault="00F8632B">
      <w:r>
        <w:t>      potrebe za prekovremenim radom i sve većeg broja učenika za koje je potrebno      </w:t>
      </w:r>
    </w:p>
    <w:p w:rsidR="001947EC" w:rsidRDefault="00F8632B">
      <w:r>
        <w:t xml:space="preserve">      održavanje nastave po prilagođenom programu.                       </w:t>
      </w:r>
      <w:r>
        <w:t>                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69.215,60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75.381,64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Ostali rashodi za zaposlene odnose se na isplatu materijalnih prava djelatnika.</w:t>
      </w:r>
    </w:p>
    <w:p w:rsidR="001947EC" w:rsidRDefault="00F8632B">
      <w:r>
        <w:t>      Povećanje rashoda uzrokovano je povećanjem bruto plaće djelatnika.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256.499,14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305.024,57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  Povećanje je uvjetovano povećanjem bruto plaće.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42.246,68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43.713,16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Ove godine povećao se broj ekskurzija i službenih putovanja djelatnika, što je uvjetovalo veći broj  dnevnica za službeni put.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199.392,68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202.021,06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  Do povećanja u odnosu na prošlu godinu došlo je zbog povećanja cijena materijala</w:t>
      </w:r>
    </w:p>
    <w:p w:rsidR="001947EC" w:rsidRDefault="00F8632B">
      <w:r>
        <w:t>      i energenata.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70.264,98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53,9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Umanjenje u odnosu na prošlu godinu uvjetovano je manjim obujmom investicijskog održavanja.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 Ostali nespomenuti rashodi poslovanja odnose se na troškove vezane za reprezentaciju,</w:t>
      </w:r>
    </w:p>
    <w:p w:rsidR="001947EC" w:rsidRDefault="00F8632B">
      <w:r>
        <w:t>     članarine, pristojbe i naknade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158.882,23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 xml:space="preserve">     Ostvareni manjak prihoda i primitaka šifra Y001 u iznosu od 158.882,23 </w:t>
      </w:r>
      <w:proofErr w:type="spellStart"/>
      <w:r>
        <w:t>eur</w:t>
      </w:r>
      <w:proofErr w:type="spellEnd"/>
      <w:r>
        <w:t>-a je metodološki manjak i odnosi se na plaće djelatnika i materijalne rashode, koji se odnose na dvanaesti mjesec 2025., a sredstva će biti doznačena u prvom mjesecu 2026.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172.180,29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7379,0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Iznos je znatno povećan zbog evidentiranja potraživanja sredstava MZOM-a na</w:t>
      </w:r>
    </w:p>
    <w:p w:rsidR="001947EC" w:rsidRDefault="00F8632B">
      <w:r>
        <w:t>    konta 163/963.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15.089,41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21.034,26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 xml:space="preserve">Manjak na šifri Y002 u iznosu od 21.034,26 eura-a  nastao je zbog nedostatka prihoda od </w:t>
      </w:r>
      <w:proofErr w:type="spellStart"/>
      <w:r>
        <w:t>nefinanijcke</w:t>
      </w:r>
      <w:proofErr w:type="spellEnd"/>
      <w:r>
        <w:t xml:space="preserve"> imovine. 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179.916,49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6331,2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Ostvareni manjak prihoda i primitaka kod Y004 u iznosu od 179.916,49 eura </w:t>
      </w:r>
    </w:p>
    <w:p w:rsidR="001947EC" w:rsidRDefault="00F8632B">
      <w:r>
        <w:t>je metodološki nedostatak i odnosi se na plaće zaposlenika i povezane materijalne troškove i neplaćenih računa</w:t>
      </w:r>
    </w:p>
    <w:p w:rsidR="001947EC" w:rsidRDefault="00F8632B">
      <w:r>
        <w:t>dvanaestog mjeseca 2025., a sredstva će biti prebačena u siječnju 2026</w:t>
      </w:r>
      <w:r>
        <w:t>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</w:t>
            </w:r>
            <w:r>
              <w:rPr>
                <w:sz w:val="18"/>
              </w:rPr>
              <w:t>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13.164,38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193.080,87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1466,7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   </w:t>
      </w:r>
    </w:p>
    <w:p w:rsidR="001947EC" w:rsidRDefault="00F8632B">
      <w:r>
        <w:t>Ostvareni manjak prihoda i primitaka  šifra Y006 u iznosu od  193.080,87eur-a </w:t>
      </w:r>
    </w:p>
    <w:p w:rsidR="001947EC" w:rsidRDefault="00F8632B">
      <w:r>
        <w:t>je metodološki manjak i odnosi se na plaće djelatnika i materijalne rashode, koji se odnose </w:t>
      </w:r>
    </w:p>
    <w:p w:rsidR="001947EC" w:rsidRDefault="00F8632B">
      <w:r>
        <w:t>na dvanaesti mjesec 2025. godine, a sredstva će biti doznačeni u siječnju 2026.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154.622,48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lastRenderedPageBreak/>
        <w:t>U ovoj godini nema iznosa zbog ukidanja konta 193 kontinuirani rashodi budućih razdoblja.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1.248.798,71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1.279.592,34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Povećanje imovine nastalo uslijed nabave školskog namještaja, udžbenika, knjižne građe,…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331,2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Povećanje iznosa uvjetovala su bolovanja zaposlenika na teret HZZO-a</w:t>
      </w:r>
    </w:p>
    <w:p w:rsidR="001947EC" w:rsidRDefault="00F8632B">
      <w:r>
        <w:t>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13.108,31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189.352,94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1444,5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Iznos se odnosi na evidentiranje potraživanja sredstava MZOM-a na konta 163/963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170.206,04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Iznos se odnosi na evidentiranje potraživanja sredstava MZOM-a na konta 163/963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Proveden je ispravak potraživanja za račune starije od dvije godine u iznosu 100%.</w:t>
      </w:r>
    </w:p>
    <w:p w:rsidR="001947EC" w:rsidRDefault="00F8632B">
      <w:r>
        <w:t>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154.622,48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U ovoj godini nema iznosa zbog ukidanja konta 193 kontinuirani rashodi budućih razdoblja.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poslovanja (šifre 231 do 234 + 235 + </w:t>
            </w:r>
            <w:r>
              <w:rPr>
                <w:sz w:val="18"/>
              </w:rPr>
              <w:t>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180.755,44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200.445,09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Povećanjem osnovice povećane su i obveze za plaću u donosu na prošlu godinu.</w:t>
      </w:r>
    </w:p>
    <w:p w:rsidR="001947EC" w:rsidRDefault="00F8632B">
      <w:r>
        <w:t>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nabavu </w:t>
            </w:r>
            <w:r>
              <w:rPr>
                <w:sz w:val="18"/>
              </w:rPr>
              <w:t>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 Iznos se odnosi na neplaćene račune u prosincu 2025. godine.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</w:t>
            </w:r>
            <w:r>
              <w:rPr>
                <w:sz w:val="18"/>
              </w:rPr>
              <w:t xml:space="preserve">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-13.164,38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-193.080,87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1466,7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Ostvareni manjak prihoda i primitaka  u iznosu od  193.080,87eur-a</w:t>
      </w:r>
    </w:p>
    <w:p w:rsidR="001947EC" w:rsidRDefault="00F8632B">
      <w:r>
        <w:t>je metodološki manjak i odnosi se na plaće djelatnika i materijalne rashode, koji se odnose</w:t>
      </w:r>
    </w:p>
    <w:p w:rsidR="001947EC" w:rsidRDefault="00F8632B">
      <w:r>
        <w:t>na dvanaesti mjesec 2025. godine, a sredstva će biti doznačeni u siječnju 2026.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172.180,29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7379,0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</w:t>
      </w:r>
    </w:p>
    <w:p w:rsidR="001947EC" w:rsidRDefault="00F8632B">
      <w:r>
        <w:t> Iznos se odnosi na evidentiranje potraživanja za sredstva od Ministarstva zdravstva, socijalne skrbi i sporta na računima 163/963 i neplaćenih računa za produžene boravke i najma dvorane.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170.206,04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 Iznos se odnosi na evidentiranje potraživanja sredstava MZOM-a na konta 163/963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od upravnih i administrativnih pristojbi, </w:t>
            </w:r>
            <w:r>
              <w:rPr>
                <w:sz w:val="18"/>
              </w:rPr>
              <w:t>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Iznos se odnosi na neplaćene račune u produženom boravku.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ostali </w:t>
            </w:r>
            <w:r>
              <w:rPr>
                <w:sz w:val="18"/>
              </w:rPr>
              <w:t>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Iznos se odnosi na neplaćene račune najma školske sportske dvorane.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28.706,25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Stigla je odluka o prijenosu imovine i nema vanbilančnih zapisa.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2.277.881,29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2.582.522,26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U obrascu RAS-funkcijski vidljivo je povećanje u odnosu na prošlu godinu uslijed povećanja troškova i ulaganja.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61.587,03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Prikazana je prilagodba vrijednosti imovine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44.346,77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Prikazan je prijenos vanbilančne  imovine u vlasništvo škole.</w:t>
      </w:r>
    </w:p>
    <w:p w:rsidR="001947EC" w:rsidRDefault="00F8632B">
      <w:r>
        <w:t> 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217.824,64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Iznos obveza na kraju izvještajnog razdoblja veći je nego za isto razdoblje prošle godine zbog povećanja osnovice plaće i neplaćenih računa.</w:t>
      </w:r>
    </w:p>
    <w:p w:rsidR="001947EC" w:rsidRDefault="001947EC"/>
    <w:p w:rsidR="001947EC" w:rsidRDefault="00F8632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9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47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1947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947EC" w:rsidRDefault="00F8632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947EC" w:rsidRDefault="001947EC">
      <w:pPr>
        <w:spacing w:after="0"/>
      </w:pPr>
    </w:p>
    <w:p w:rsidR="001947EC" w:rsidRDefault="00F8632B">
      <w:r>
        <w:t>Nisu sve obveze dospjele, nema dospjelih obveza.</w:t>
      </w:r>
    </w:p>
    <w:p w:rsidR="001947EC" w:rsidRDefault="001947EC"/>
    <w:sectPr w:rsidR="0019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EC"/>
    <w:rsid w:val="001947EC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E355B-3E29-4116-B6F3-7F1B49F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Irena Farkaš</cp:lastModifiedBy>
  <cp:revision>2</cp:revision>
  <dcterms:created xsi:type="dcterms:W3CDTF">2026-02-02T10:10:00Z</dcterms:created>
  <dcterms:modified xsi:type="dcterms:W3CDTF">2026-02-02T10:10:00Z</dcterms:modified>
</cp:coreProperties>
</file>